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76" w:rsidRPr="00FD2D76" w:rsidRDefault="00FD2D76" w:rsidP="00516A2D">
      <w:pPr>
        <w:spacing w:before="161"/>
        <w:ind w:firstLine="567"/>
        <w:jc w:val="center"/>
        <w:outlineLvl w:val="0"/>
        <w:rPr>
          <w:rFonts w:eastAsia="Times New Roman" w:cs="Times New Roman"/>
          <w:b/>
          <w:bCs/>
          <w:kern w:val="36"/>
          <w:sz w:val="48"/>
          <w:szCs w:val="48"/>
          <w:lang w:eastAsia="ru-RU"/>
        </w:rPr>
      </w:pPr>
      <w:r w:rsidRPr="00FD2D76">
        <w:rPr>
          <w:rFonts w:eastAsia="Times New Roman" w:cs="Times New Roman"/>
          <w:b/>
          <w:bCs/>
          <w:kern w:val="36"/>
          <w:sz w:val="48"/>
          <w:szCs w:val="48"/>
          <w:lang w:eastAsia="ru-RU"/>
        </w:rPr>
        <w:t>Письмо</w:t>
      </w:r>
      <w:r w:rsidR="00516A2D">
        <w:rPr>
          <w:rFonts w:eastAsia="Times New Roman" w:cs="Times New Roman"/>
          <w:b/>
          <w:bCs/>
          <w:kern w:val="36"/>
          <w:sz w:val="48"/>
          <w:szCs w:val="48"/>
          <w:lang w:eastAsia="ru-RU"/>
        </w:rPr>
        <w:t xml:space="preserve"> «</w:t>
      </w:r>
      <w:r w:rsidRPr="00FD2D76">
        <w:rPr>
          <w:rFonts w:eastAsia="Times New Roman" w:cs="Times New Roman"/>
          <w:b/>
          <w:bCs/>
          <w:kern w:val="36"/>
          <w:sz w:val="48"/>
          <w:szCs w:val="48"/>
          <w:lang w:eastAsia="ru-RU"/>
        </w:rPr>
        <w:t>Об определении мин</w:t>
      </w:r>
      <w:r w:rsidR="00516A2D">
        <w:rPr>
          <w:rFonts w:eastAsia="Times New Roman" w:cs="Times New Roman"/>
          <w:b/>
          <w:bCs/>
          <w:kern w:val="36"/>
          <w:sz w:val="48"/>
          <w:szCs w:val="48"/>
          <w:lang w:eastAsia="ru-RU"/>
        </w:rPr>
        <w:t>имального количества баллов ЕГЭ»</w:t>
      </w:r>
    </w:p>
    <w:p w:rsidR="00FD2D76" w:rsidRPr="00FD2D76" w:rsidRDefault="00FD2D76" w:rsidP="00516A2D">
      <w:pPr>
        <w:shd w:val="clear" w:color="auto" w:fill="FFFFFF"/>
        <w:spacing w:line="450" w:lineRule="atLeast"/>
        <w:ind w:firstLine="567"/>
        <w:jc w:val="center"/>
        <w:rPr>
          <w:rFonts w:ascii="Arial" w:eastAsia="Times New Roman" w:hAnsi="Arial" w:cs="Arial"/>
          <w:b/>
          <w:bCs/>
          <w:color w:val="000000"/>
          <w:sz w:val="30"/>
          <w:szCs w:val="30"/>
          <w:lang w:eastAsia="ru-RU"/>
        </w:rPr>
      </w:pPr>
      <w:r w:rsidRPr="00FD2D76">
        <w:rPr>
          <w:rFonts w:ascii="Arial" w:eastAsia="Times New Roman" w:hAnsi="Arial" w:cs="Arial"/>
          <w:b/>
          <w:bCs/>
          <w:color w:val="000000"/>
          <w:sz w:val="30"/>
          <w:szCs w:val="30"/>
          <w:lang w:eastAsia="ru-RU"/>
        </w:rPr>
        <w:t>ФЕДЕРАЛЬНАЯ СЛУЖБА ПО НАДЗОРУ В СФЕРЕ ОБРАЗОВАНИЯ И НАУКИ</w:t>
      </w:r>
    </w:p>
    <w:p w:rsidR="00FD2D76" w:rsidRPr="00FD2D76" w:rsidRDefault="00FD2D76" w:rsidP="00516A2D">
      <w:pPr>
        <w:shd w:val="clear" w:color="auto" w:fill="FFFFFF"/>
        <w:spacing w:line="450" w:lineRule="atLeast"/>
        <w:ind w:firstLine="567"/>
        <w:jc w:val="center"/>
        <w:rPr>
          <w:rFonts w:ascii="Arial" w:eastAsia="Times New Roman" w:hAnsi="Arial" w:cs="Arial"/>
          <w:b/>
          <w:bCs/>
          <w:color w:val="000000"/>
          <w:sz w:val="30"/>
          <w:szCs w:val="30"/>
          <w:lang w:eastAsia="ru-RU"/>
        </w:rPr>
      </w:pPr>
      <w:r w:rsidRPr="00FD2D76">
        <w:rPr>
          <w:rFonts w:ascii="Arial" w:eastAsia="Times New Roman" w:hAnsi="Arial" w:cs="Arial"/>
          <w:b/>
          <w:bCs/>
          <w:color w:val="000000"/>
          <w:sz w:val="30"/>
          <w:szCs w:val="30"/>
          <w:lang w:eastAsia="ru-RU"/>
        </w:rPr>
        <w:t>УПРАВЛЕНИЕ ОРГАНИЗАЦИИ И ПРОВЕДЕНИЯ ГОСУДАРСТВЕННОЙ</w:t>
      </w:r>
      <w:r w:rsidR="00516A2D">
        <w:rPr>
          <w:rFonts w:ascii="Arial" w:eastAsia="Times New Roman" w:hAnsi="Arial" w:cs="Arial"/>
          <w:b/>
          <w:bCs/>
          <w:color w:val="000000"/>
          <w:sz w:val="30"/>
          <w:szCs w:val="30"/>
          <w:lang w:eastAsia="ru-RU"/>
        </w:rPr>
        <w:t xml:space="preserve"> </w:t>
      </w:r>
      <w:bookmarkStart w:id="0" w:name="_GoBack"/>
      <w:bookmarkEnd w:id="0"/>
      <w:r w:rsidRPr="00FD2D76">
        <w:rPr>
          <w:rFonts w:ascii="Arial" w:eastAsia="Times New Roman" w:hAnsi="Arial" w:cs="Arial"/>
          <w:b/>
          <w:bCs/>
          <w:color w:val="000000"/>
          <w:sz w:val="30"/>
          <w:szCs w:val="30"/>
          <w:lang w:eastAsia="ru-RU"/>
        </w:rPr>
        <w:t>ИТОГОВОЙ АТТЕСТАЦИИ</w:t>
      </w:r>
    </w:p>
    <w:p w:rsidR="00FD2D76" w:rsidRPr="00FD2D76" w:rsidRDefault="00FD2D76" w:rsidP="00516A2D">
      <w:pPr>
        <w:shd w:val="clear" w:color="auto" w:fill="FFFFFF"/>
        <w:spacing w:line="450" w:lineRule="atLeast"/>
        <w:ind w:firstLine="567"/>
        <w:jc w:val="center"/>
        <w:rPr>
          <w:rFonts w:ascii="Arial" w:eastAsia="Times New Roman" w:hAnsi="Arial" w:cs="Arial"/>
          <w:b/>
          <w:bCs/>
          <w:color w:val="000000"/>
          <w:sz w:val="30"/>
          <w:szCs w:val="30"/>
          <w:lang w:eastAsia="ru-RU"/>
        </w:rPr>
      </w:pPr>
      <w:r w:rsidRPr="00FD2D76">
        <w:rPr>
          <w:rFonts w:ascii="Arial" w:eastAsia="Times New Roman" w:hAnsi="Arial" w:cs="Arial"/>
          <w:b/>
          <w:bCs/>
          <w:color w:val="000000"/>
          <w:sz w:val="30"/>
          <w:szCs w:val="30"/>
          <w:lang w:eastAsia="ru-RU"/>
        </w:rPr>
        <w:t>ПИСЬМО</w:t>
      </w:r>
    </w:p>
    <w:p w:rsidR="00FD2D76" w:rsidRPr="00FD2D76" w:rsidRDefault="00FD2D76" w:rsidP="00FD2D76">
      <w:pPr>
        <w:shd w:val="clear" w:color="auto" w:fill="FFFFFF"/>
        <w:spacing w:before="210" w:line="450" w:lineRule="atLeast"/>
        <w:ind w:firstLine="567"/>
        <w:rPr>
          <w:rFonts w:ascii="Arial" w:eastAsia="Times New Roman" w:hAnsi="Arial" w:cs="Arial"/>
          <w:b/>
          <w:bCs/>
          <w:color w:val="000000"/>
          <w:sz w:val="30"/>
          <w:szCs w:val="30"/>
          <w:lang w:eastAsia="ru-RU"/>
        </w:rPr>
      </w:pPr>
      <w:r w:rsidRPr="00FD2D76">
        <w:rPr>
          <w:rFonts w:ascii="Arial" w:eastAsia="Times New Roman" w:hAnsi="Arial" w:cs="Arial"/>
          <w:b/>
          <w:bCs/>
          <w:color w:val="000000"/>
          <w:sz w:val="30"/>
          <w:szCs w:val="30"/>
          <w:lang w:eastAsia="ru-RU"/>
        </w:rPr>
        <w:t>от 27 апреля 2023 г. N За-5483/10-1349</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Управление организации и проведения государственной итоговой аттестации Федеральной службы по надзору в сфере образования и науки (</w:t>
      </w:r>
      <w:proofErr w:type="spellStart"/>
      <w:r w:rsidRPr="00FD2D76">
        <w:rPr>
          <w:rFonts w:eastAsia="Times New Roman" w:cs="Times New Roman"/>
          <w:color w:val="000000"/>
          <w:sz w:val="30"/>
          <w:szCs w:val="30"/>
          <w:lang w:eastAsia="ru-RU"/>
        </w:rPr>
        <w:t>Рособрнадзора</w:t>
      </w:r>
      <w:proofErr w:type="spellEnd"/>
      <w:r w:rsidRPr="00FD2D76">
        <w:rPr>
          <w:rFonts w:eastAsia="Times New Roman" w:cs="Times New Roman"/>
          <w:color w:val="000000"/>
          <w:sz w:val="30"/>
          <w:szCs w:val="30"/>
          <w:lang w:eastAsia="ru-RU"/>
        </w:rPr>
        <w:t>) рассмотрело обращение и сообщает следующее.</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В соответствии с </w:t>
      </w:r>
      <w:hyperlink r:id="rId4" w:anchor="dst100818" w:history="1">
        <w:r w:rsidRPr="00FD2D76">
          <w:rPr>
            <w:rFonts w:eastAsia="Times New Roman" w:cs="Times New Roman"/>
            <w:color w:val="1A0DAB"/>
            <w:sz w:val="30"/>
            <w:szCs w:val="30"/>
            <w:u w:val="single"/>
            <w:lang w:eastAsia="ru-RU"/>
          </w:rPr>
          <w:t>частью 14 статьи 59</w:t>
        </w:r>
      </w:hyperlink>
      <w:r w:rsidRPr="00FD2D76">
        <w:rPr>
          <w:rFonts w:eastAsia="Times New Roman" w:cs="Times New Roman"/>
          <w:color w:val="000000"/>
          <w:sz w:val="30"/>
          <w:szCs w:val="30"/>
          <w:lang w:eastAsia="ru-RU"/>
        </w:rPr>
        <w:t> и </w:t>
      </w:r>
      <w:hyperlink r:id="rId5" w:anchor="dst100930" w:history="1">
        <w:r w:rsidRPr="00FD2D76">
          <w:rPr>
            <w:rFonts w:eastAsia="Times New Roman" w:cs="Times New Roman"/>
            <w:color w:val="1A0DAB"/>
            <w:sz w:val="30"/>
            <w:szCs w:val="30"/>
            <w:u w:val="single"/>
            <w:lang w:eastAsia="ru-RU"/>
          </w:rPr>
          <w:t>частью 4 статьи 70</w:t>
        </w:r>
      </w:hyperlink>
      <w:r w:rsidRPr="00FD2D76">
        <w:rPr>
          <w:rFonts w:eastAsia="Times New Roman" w:cs="Times New Roman"/>
          <w:color w:val="000000"/>
          <w:sz w:val="30"/>
          <w:szCs w:val="30"/>
          <w:lang w:eastAsia="ru-RU"/>
        </w:rPr>
        <w:t xml:space="preserve"> Федерального закона от 29 декабря 2012 г. N 273-ФЗ "Об образовании в Российской Федерации" (далее - Федеральный закон) определение минимального количества баллов единого государственного экзамена (далее - ЕГЭ), подтверждающего освоение образовательной программы среднего общего образования, и минимального количества баллов ЕГЭ, необходимого для поступления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осуществляются федеральным органом исполнительной власти, осуществляющим функции по контролю и надзору в сфере образования (</w:t>
      </w:r>
      <w:proofErr w:type="spellStart"/>
      <w:r w:rsidRPr="00FD2D76">
        <w:rPr>
          <w:rFonts w:eastAsia="Times New Roman" w:cs="Times New Roman"/>
          <w:color w:val="000000"/>
          <w:sz w:val="30"/>
          <w:szCs w:val="30"/>
          <w:lang w:eastAsia="ru-RU"/>
        </w:rPr>
        <w:t>Рособрнадзором</w:t>
      </w:r>
      <w:proofErr w:type="spellEnd"/>
      <w:r w:rsidRPr="00FD2D76">
        <w:rPr>
          <w:rFonts w:eastAsia="Times New Roman" w:cs="Times New Roman"/>
          <w:color w:val="000000"/>
          <w:sz w:val="30"/>
          <w:szCs w:val="30"/>
          <w:lang w:eastAsia="ru-RU"/>
        </w:rPr>
        <w:t>).</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В целях реализации указанного полномочия было издано </w:t>
      </w:r>
      <w:hyperlink r:id="rId6" w:history="1">
        <w:r w:rsidRPr="00FD2D76">
          <w:rPr>
            <w:rFonts w:eastAsia="Times New Roman" w:cs="Times New Roman"/>
            <w:color w:val="1A0DAB"/>
            <w:sz w:val="30"/>
            <w:szCs w:val="30"/>
            <w:u w:val="single"/>
            <w:lang w:eastAsia="ru-RU"/>
          </w:rPr>
          <w:t>распоряжение</w:t>
        </w:r>
      </w:hyperlink>
      <w:r w:rsidRPr="00FD2D76">
        <w:rPr>
          <w:rFonts w:eastAsia="Times New Roman" w:cs="Times New Roman"/>
          <w:color w:val="000000"/>
          <w:sz w:val="30"/>
          <w:szCs w:val="30"/>
          <w:lang w:eastAsia="ru-RU"/>
        </w:rPr>
        <w:t> </w:t>
      </w:r>
      <w:proofErr w:type="spellStart"/>
      <w:r w:rsidRPr="00FD2D76">
        <w:rPr>
          <w:rFonts w:eastAsia="Times New Roman" w:cs="Times New Roman"/>
          <w:color w:val="000000"/>
          <w:sz w:val="30"/>
          <w:szCs w:val="30"/>
          <w:lang w:eastAsia="ru-RU"/>
        </w:rPr>
        <w:t>Рособрнадзора</w:t>
      </w:r>
      <w:proofErr w:type="spellEnd"/>
      <w:r w:rsidRPr="00FD2D76">
        <w:rPr>
          <w:rFonts w:eastAsia="Times New Roman" w:cs="Times New Roman"/>
          <w:color w:val="000000"/>
          <w:sz w:val="30"/>
          <w:szCs w:val="30"/>
          <w:lang w:eastAsia="ru-RU"/>
        </w:rPr>
        <w:t xml:space="preserve"> от 16 июля 2019 г. N 1122-10 "Об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xml:space="preserve">" (с изменениями, внесенными распоряжениями </w:t>
      </w:r>
      <w:proofErr w:type="spellStart"/>
      <w:r w:rsidRPr="00FD2D76">
        <w:rPr>
          <w:rFonts w:eastAsia="Times New Roman" w:cs="Times New Roman"/>
          <w:color w:val="000000"/>
          <w:sz w:val="30"/>
          <w:szCs w:val="30"/>
          <w:lang w:eastAsia="ru-RU"/>
        </w:rPr>
        <w:t>Рособрнадзора</w:t>
      </w:r>
      <w:proofErr w:type="spellEnd"/>
      <w:r w:rsidRPr="00FD2D76">
        <w:rPr>
          <w:rFonts w:eastAsia="Times New Roman" w:cs="Times New Roman"/>
          <w:color w:val="000000"/>
          <w:sz w:val="30"/>
          <w:szCs w:val="30"/>
          <w:lang w:eastAsia="ru-RU"/>
        </w:rPr>
        <w:t xml:space="preserve"> от 14 июля 2020 г. N 742-10, от 23 июля 2020 г. N 781-10, от 27 июля 2020 г. N 794-10, от 6 августа 2020 г. N 834-10, от 11 июня 2021 г. N 822-10, от 17 июня 2021 г. N 844-10, от 2 июля 2021 г. N 933-10, от 1 апреля 2022 г. N 778-10, от 6 апреля 2022 г. N 835-10, от 11 апреля 2022 г. N 911-10, от 12 апреля 2022 г. N 916-10 и от 15 апреля 2022 г. N 970-10) (далее вместе - распоряжение N 1122-10), создана Комиссия Федеральной службы по надзору в сфере образования и науки по установлению соответствия между минимальными первичными баллами единого государственного экзамена и минимальными тестовыми баллами по </w:t>
      </w:r>
      <w:r w:rsidRPr="00FD2D76">
        <w:rPr>
          <w:rFonts w:eastAsia="Times New Roman" w:cs="Times New Roman"/>
          <w:color w:val="000000"/>
          <w:sz w:val="30"/>
          <w:szCs w:val="30"/>
          <w:lang w:eastAsia="ru-RU"/>
        </w:rPr>
        <w:lastRenderedPageBreak/>
        <w:t xml:space="preserve">каждому учебному предмету при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xml:space="preserve"> (далее - Комиссия), положение о которой было утверждено распоряжением </w:t>
      </w:r>
      <w:proofErr w:type="spellStart"/>
      <w:r w:rsidRPr="00FD2D76">
        <w:rPr>
          <w:rFonts w:eastAsia="Times New Roman" w:cs="Times New Roman"/>
          <w:color w:val="000000"/>
          <w:sz w:val="30"/>
          <w:szCs w:val="30"/>
          <w:lang w:eastAsia="ru-RU"/>
        </w:rPr>
        <w:t>Рособрнадзора</w:t>
      </w:r>
      <w:proofErr w:type="spellEnd"/>
      <w:r w:rsidRPr="00FD2D76">
        <w:rPr>
          <w:rFonts w:eastAsia="Times New Roman" w:cs="Times New Roman"/>
          <w:color w:val="000000"/>
          <w:sz w:val="30"/>
          <w:szCs w:val="30"/>
          <w:lang w:eastAsia="ru-RU"/>
        </w:rPr>
        <w:t xml:space="preserve"> от 16 сентября 2019 г. N 1418-10.</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Изменения, которые вносились в </w:t>
      </w:r>
      <w:hyperlink r:id="rId7" w:history="1">
        <w:r w:rsidRPr="00FD2D76">
          <w:rPr>
            <w:rFonts w:eastAsia="Times New Roman" w:cs="Times New Roman"/>
            <w:color w:val="1A0DAB"/>
            <w:sz w:val="30"/>
            <w:szCs w:val="30"/>
            <w:u w:val="single"/>
            <w:lang w:eastAsia="ru-RU"/>
          </w:rPr>
          <w:t>распоряжение</w:t>
        </w:r>
      </w:hyperlink>
      <w:r w:rsidRPr="00FD2D76">
        <w:rPr>
          <w:rFonts w:eastAsia="Times New Roman" w:cs="Times New Roman"/>
          <w:color w:val="000000"/>
          <w:sz w:val="30"/>
          <w:szCs w:val="30"/>
          <w:lang w:eastAsia="ru-RU"/>
        </w:rPr>
        <w:t> N 1122-10, в том числе в части изменения (сохранения) соответствия между первичными и тестовыми баллами ЕГЭ по всем учебным предметам, принимались в соответствии с решениями Комиссии на основании статистических данных результатов ЕГЭ по Российской Федерации в целом и по отдельным субъектам Российской Федерации, полученных в период проведения ЕГЭ соответствующего года, а также результатов ЕГЭ предыдущего года для обеспечения сопоставимости результатов ЕГЭ по учебным годам, в том числе в связи с изменениями структуры и содержания контрольных измерительных материалов (далее - КИМ) ЕГЭ в соответствующем году по учебным предметам.</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hyperlink r:id="rId8" w:history="1">
        <w:r w:rsidRPr="00FD2D76">
          <w:rPr>
            <w:rFonts w:eastAsia="Times New Roman" w:cs="Times New Roman"/>
            <w:color w:val="1A0DAB"/>
            <w:sz w:val="30"/>
            <w:szCs w:val="30"/>
            <w:u w:val="single"/>
            <w:lang w:eastAsia="ru-RU"/>
          </w:rPr>
          <w:t>Распоряжением</w:t>
        </w:r>
      </w:hyperlink>
      <w:r w:rsidRPr="00FD2D76">
        <w:rPr>
          <w:rFonts w:eastAsia="Times New Roman" w:cs="Times New Roman"/>
          <w:color w:val="000000"/>
          <w:sz w:val="30"/>
          <w:szCs w:val="30"/>
          <w:lang w:eastAsia="ru-RU"/>
        </w:rPr>
        <w:t> </w:t>
      </w:r>
      <w:proofErr w:type="spellStart"/>
      <w:r w:rsidRPr="00FD2D76">
        <w:rPr>
          <w:rFonts w:eastAsia="Times New Roman" w:cs="Times New Roman"/>
          <w:color w:val="000000"/>
          <w:sz w:val="30"/>
          <w:szCs w:val="30"/>
          <w:lang w:eastAsia="ru-RU"/>
        </w:rPr>
        <w:t>Рособрнадзора</w:t>
      </w:r>
      <w:proofErr w:type="spellEnd"/>
      <w:r w:rsidRPr="00FD2D76">
        <w:rPr>
          <w:rFonts w:eastAsia="Times New Roman" w:cs="Times New Roman"/>
          <w:color w:val="000000"/>
          <w:sz w:val="30"/>
          <w:szCs w:val="30"/>
          <w:lang w:eastAsia="ru-RU"/>
        </w:rPr>
        <w:t xml:space="preserve"> от 21 марта 2023 г. N 188-10 "Об отмене некоторых распоряжений Федеральной службы по надзору в сфере образования и науки" </w:t>
      </w:r>
      <w:hyperlink r:id="rId9" w:history="1">
        <w:r w:rsidRPr="00FD2D76">
          <w:rPr>
            <w:rFonts w:eastAsia="Times New Roman" w:cs="Times New Roman"/>
            <w:color w:val="1A0DAB"/>
            <w:sz w:val="30"/>
            <w:szCs w:val="30"/>
            <w:u w:val="single"/>
            <w:lang w:eastAsia="ru-RU"/>
          </w:rPr>
          <w:t>распоряжение</w:t>
        </w:r>
      </w:hyperlink>
      <w:r w:rsidRPr="00FD2D76">
        <w:rPr>
          <w:rFonts w:eastAsia="Times New Roman" w:cs="Times New Roman"/>
          <w:color w:val="000000"/>
          <w:sz w:val="30"/>
          <w:szCs w:val="30"/>
          <w:lang w:eastAsia="ru-RU"/>
        </w:rPr>
        <w:t> N 1122-10 было отменено.</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 xml:space="preserve">В 2023 году также создана Комиссия, положение о которой утверждено распоряжением </w:t>
      </w:r>
      <w:proofErr w:type="spellStart"/>
      <w:r w:rsidRPr="00FD2D76">
        <w:rPr>
          <w:rFonts w:eastAsia="Times New Roman" w:cs="Times New Roman"/>
          <w:color w:val="000000"/>
          <w:sz w:val="30"/>
          <w:szCs w:val="30"/>
          <w:lang w:eastAsia="ru-RU"/>
        </w:rPr>
        <w:t>Рособрнадзора</w:t>
      </w:r>
      <w:proofErr w:type="spellEnd"/>
      <w:r w:rsidRPr="00FD2D76">
        <w:rPr>
          <w:rFonts w:eastAsia="Times New Roman" w:cs="Times New Roman"/>
          <w:color w:val="000000"/>
          <w:sz w:val="30"/>
          <w:szCs w:val="30"/>
          <w:lang w:eastAsia="ru-RU"/>
        </w:rPr>
        <w:t xml:space="preserve"> от 29 марта 2023 г. N 213-10 (далее - Положение).</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 xml:space="preserve">Согласно Положению Комиссия является совещательным органом, созданным в целях установления соответствия между первичными баллами и тестовыми баллами ЕГЭ по </w:t>
      </w:r>
      <w:proofErr w:type="spellStart"/>
      <w:r w:rsidRPr="00FD2D76">
        <w:rPr>
          <w:rFonts w:eastAsia="Times New Roman" w:cs="Times New Roman"/>
          <w:color w:val="000000"/>
          <w:sz w:val="30"/>
          <w:szCs w:val="30"/>
          <w:lang w:eastAsia="ru-RU"/>
        </w:rPr>
        <w:t>стобалльной</w:t>
      </w:r>
      <w:proofErr w:type="spellEnd"/>
      <w:r w:rsidRPr="00FD2D76">
        <w:rPr>
          <w:rFonts w:eastAsia="Times New Roman" w:cs="Times New Roman"/>
          <w:color w:val="000000"/>
          <w:sz w:val="30"/>
          <w:szCs w:val="30"/>
          <w:lang w:eastAsia="ru-RU"/>
        </w:rPr>
        <w:t xml:space="preserve"> системе оценивания по каждому учебному предмету, установления соответствия между первичными баллами и отметками по пятибалльной системе оценивания по математике базового уровня, а также подготовки решений Комиссии, на основании которых Федеральная служба по надзору в сфере образования и науки определяет минимальное количество баллов ЕГЭ, подтверждающее освоение образовательной программы среднего общего образования, и минимальное количество баллов ЕГЭ, необходимое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 xml:space="preserve">К задачам Комиссии также отнесено определение алгоритма установления соответствия: между первичными баллами и тестовыми баллами ЕГЭ по каждому учебному предмету; между минимальными первичными баллами и минимальными тестовыми баллами ЕГЭ, подтверждающими освоение образовательной программы среднего общего </w:t>
      </w:r>
      <w:r w:rsidRPr="00FD2D76">
        <w:rPr>
          <w:rFonts w:eastAsia="Times New Roman" w:cs="Times New Roman"/>
          <w:color w:val="000000"/>
          <w:sz w:val="30"/>
          <w:szCs w:val="30"/>
          <w:lang w:eastAsia="ru-RU"/>
        </w:rPr>
        <w:lastRenderedPageBreak/>
        <w:t xml:space="preserve">образования по соответствующим учебным предметам; между минимальными первичными баллами и минимальными тестовыми баллами ЕГЭ, необходимыми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xml:space="preserve"> (далее - Алгоритм).</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 xml:space="preserve">Алгоритм и подходы к определению минимального первичного балла, подтверждающего освоение образовательной программы среднего общего образования по соответствующим учебным предметам, минимального первичного балла, необходимого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xml:space="preserve"> (далее - подходы), определенные Комиссией, в целях обеспечения сопоставимости результатов ЕГЭ по годам остались неизменным и соответствуют Алгоритму и подходам, которые ранее были установлены </w:t>
      </w:r>
      <w:hyperlink r:id="rId10" w:history="1">
        <w:r w:rsidRPr="00FD2D76">
          <w:rPr>
            <w:rFonts w:eastAsia="Times New Roman" w:cs="Times New Roman"/>
            <w:color w:val="1A0DAB"/>
            <w:sz w:val="30"/>
            <w:szCs w:val="30"/>
            <w:u w:val="single"/>
            <w:lang w:eastAsia="ru-RU"/>
          </w:rPr>
          <w:t>распоряжением</w:t>
        </w:r>
      </w:hyperlink>
      <w:r w:rsidRPr="00FD2D76">
        <w:rPr>
          <w:rFonts w:eastAsia="Times New Roman" w:cs="Times New Roman"/>
          <w:color w:val="000000"/>
          <w:sz w:val="30"/>
          <w:szCs w:val="30"/>
          <w:lang w:eastAsia="ru-RU"/>
        </w:rPr>
        <w:t> N 1122-10.</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В 2023 году Комиссией было изменено ранее установленное </w:t>
      </w:r>
      <w:hyperlink r:id="rId11" w:history="1">
        <w:r w:rsidRPr="00FD2D76">
          <w:rPr>
            <w:rFonts w:eastAsia="Times New Roman" w:cs="Times New Roman"/>
            <w:color w:val="1A0DAB"/>
            <w:sz w:val="30"/>
            <w:szCs w:val="30"/>
            <w:u w:val="single"/>
            <w:lang w:eastAsia="ru-RU"/>
          </w:rPr>
          <w:t>распоряжением</w:t>
        </w:r>
      </w:hyperlink>
      <w:r w:rsidRPr="00FD2D76">
        <w:rPr>
          <w:rFonts w:eastAsia="Times New Roman" w:cs="Times New Roman"/>
          <w:color w:val="000000"/>
          <w:sz w:val="30"/>
          <w:szCs w:val="30"/>
          <w:lang w:eastAsia="ru-RU"/>
        </w:rPr>
        <w:t xml:space="preserve"> N 1122-10 соответствие между первичными баллами и тестовыми баллами ЕГЭ по </w:t>
      </w:r>
      <w:proofErr w:type="spellStart"/>
      <w:r w:rsidRPr="00FD2D76">
        <w:rPr>
          <w:rFonts w:eastAsia="Times New Roman" w:cs="Times New Roman"/>
          <w:color w:val="000000"/>
          <w:sz w:val="30"/>
          <w:szCs w:val="30"/>
          <w:lang w:eastAsia="ru-RU"/>
        </w:rPr>
        <w:t>стобалльной</w:t>
      </w:r>
      <w:proofErr w:type="spellEnd"/>
      <w:r w:rsidRPr="00FD2D76">
        <w:rPr>
          <w:rFonts w:eastAsia="Times New Roman" w:cs="Times New Roman"/>
          <w:color w:val="000000"/>
          <w:sz w:val="30"/>
          <w:szCs w:val="30"/>
          <w:lang w:eastAsia="ru-RU"/>
        </w:rPr>
        <w:t xml:space="preserve"> системе оценивания по учебным предметам "Русский язык", "Биология", "Обществознание", "История", "Иностранные языки" (английский, немецкий, французский, испанский), в том числе в связи с отдельными изменениями структуры и содержания КИМ ЕГЭ в 2023 году. С информацией об изменении КИМ ЕГЭ по соответствующим учебным предметам в 2023 году можно ознакомиться на официальном сайте федерального государственного бюджетного научного учреждения "Федеральный институт педагогических измерений" (ФГБНУ "ФИПИ") (</w:t>
      </w:r>
      <w:hyperlink r:id="rId12" w:tgtFrame="_blank" w:history="1">
        <w:r w:rsidRPr="00FD2D76">
          <w:rPr>
            <w:rFonts w:eastAsia="Times New Roman" w:cs="Times New Roman"/>
            <w:color w:val="1A0DAB"/>
            <w:sz w:val="30"/>
            <w:szCs w:val="30"/>
            <w:u w:val="single"/>
            <w:lang w:eastAsia="ru-RU"/>
          </w:rPr>
          <w:t>https://fipi.ru/ege/demoversii-specifikacii-kodifikatory</w:t>
        </w:r>
      </w:hyperlink>
      <w:r w:rsidRPr="00FD2D76">
        <w:rPr>
          <w:rFonts w:eastAsia="Times New Roman" w:cs="Times New Roman"/>
          <w:color w:val="000000"/>
          <w:sz w:val="30"/>
          <w:szCs w:val="30"/>
          <w:lang w:eastAsia="ru-RU"/>
        </w:rPr>
        <w:t>).</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 xml:space="preserve">Алгоритм, а также соответствие между первичными баллами и тестовыми баллами ЕГЭ по </w:t>
      </w:r>
      <w:proofErr w:type="spellStart"/>
      <w:r w:rsidRPr="00FD2D76">
        <w:rPr>
          <w:rFonts w:eastAsia="Times New Roman" w:cs="Times New Roman"/>
          <w:color w:val="000000"/>
          <w:sz w:val="30"/>
          <w:szCs w:val="30"/>
          <w:lang w:eastAsia="ru-RU"/>
        </w:rPr>
        <w:t>стобалльной</w:t>
      </w:r>
      <w:proofErr w:type="spellEnd"/>
      <w:r w:rsidRPr="00FD2D76">
        <w:rPr>
          <w:rFonts w:eastAsia="Times New Roman" w:cs="Times New Roman"/>
          <w:color w:val="000000"/>
          <w:sz w:val="30"/>
          <w:szCs w:val="30"/>
          <w:lang w:eastAsia="ru-RU"/>
        </w:rPr>
        <w:t xml:space="preserve"> системе оценивания по каждому учебному предмету, соответствие между первичными баллами и отметками по пятибалльной системе оценивания по математике базового уровня размещены на официальном сайте Федеральной службы по надзору в сфере образования и науки в разделе "ГИА-11/Результаты" (</w:t>
      </w:r>
      <w:hyperlink r:id="rId13" w:tgtFrame="_blank" w:history="1">
        <w:r w:rsidRPr="00FD2D76">
          <w:rPr>
            <w:rFonts w:eastAsia="Times New Roman" w:cs="Times New Roman"/>
            <w:color w:val="1A0DAB"/>
            <w:sz w:val="30"/>
            <w:szCs w:val="30"/>
            <w:u w:val="single"/>
            <w:lang w:eastAsia="ru-RU"/>
          </w:rPr>
          <w:t>https://obrnadzor.gov.ru/gia/gia-11/rezultaty/</w:t>
        </w:r>
      </w:hyperlink>
      <w:r w:rsidRPr="00FD2D76">
        <w:rPr>
          <w:rFonts w:eastAsia="Times New Roman" w:cs="Times New Roman"/>
          <w:color w:val="000000"/>
          <w:sz w:val="30"/>
          <w:szCs w:val="30"/>
          <w:lang w:eastAsia="ru-RU"/>
        </w:rPr>
        <w:t>).</w:t>
      </w:r>
    </w:p>
    <w:p w:rsidR="00FD2D76" w:rsidRPr="00FD2D76" w:rsidRDefault="00FD2D76" w:rsidP="00FD2D76">
      <w:pPr>
        <w:shd w:val="clear" w:color="auto" w:fill="FFFFFF"/>
        <w:spacing w:before="210"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 xml:space="preserve">Одновременно сообщаем, что минимальное количество баллов ЕГЭ по </w:t>
      </w:r>
      <w:proofErr w:type="spellStart"/>
      <w:r w:rsidRPr="00FD2D76">
        <w:rPr>
          <w:rFonts w:eastAsia="Times New Roman" w:cs="Times New Roman"/>
          <w:color w:val="000000"/>
          <w:sz w:val="30"/>
          <w:szCs w:val="30"/>
          <w:lang w:eastAsia="ru-RU"/>
        </w:rPr>
        <w:t>стобалльной</w:t>
      </w:r>
      <w:proofErr w:type="spellEnd"/>
      <w:r w:rsidRPr="00FD2D76">
        <w:rPr>
          <w:rFonts w:eastAsia="Times New Roman" w:cs="Times New Roman"/>
          <w:color w:val="000000"/>
          <w:sz w:val="30"/>
          <w:szCs w:val="30"/>
          <w:lang w:eastAsia="ru-RU"/>
        </w:rPr>
        <w:t xml:space="preserve"> системе оценивания, подтверждающее освоение образовательной программы среднего общего образования, минимальное количество баллов ЕГЭ по пятибалльной системе оценивания, подтверждающее освоение образовательной программы среднего общего образования по математике базового уровня, минимальное количество баллов ЕГЭ по </w:t>
      </w:r>
      <w:proofErr w:type="spellStart"/>
      <w:r w:rsidRPr="00FD2D76">
        <w:rPr>
          <w:rFonts w:eastAsia="Times New Roman" w:cs="Times New Roman"/>
          <w:color w:val="000000"/>
          <w:sz w:val="30"/>
          <w:szCs w:val="30"/>
          <w:lang w:eastAsia="ru-RU"/>
        </w:rPr>
        <w:t>стобалльной</w:t>
      </w:r>
      <w:proofErr w:type="spellEnd"/>
      <w:r w:rsidRPr="00FD2D76">
        <w:rPr>
          <w:rFonts w:eastAsia="Times New Roman" w:cs="Times New Roman"/>
          <w:color w:val="000000"/>
          <w:sz w:val="30"/>
          <w:szCs w:val="30"/>
          <w:lang w:eastAsia="ru-RU"/>
        </w:rPr>
        <w:t xml:space="preserve"> системе оценивания, необходимое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xml:space="preserve">, </w:t>
      </w:r>
      <w:r w:rsidRPr="00FD2D76">
        <w:rPr>
          <w:rFonts w:eastAsia="Times New Roman" w:cs="Times New Roman"/>
          <w:color w:val="000000"/>
          <w:sz w:val="30"/>
          <w:szCs w:val="30"/>
          <w:lang w:eastAsia="ru-RU"/>
        </w:rPr>
        <w:lastRenderedPageBreak/>
        <w:t>определенные </w:t>
      </w:r>
      <w:hyperlink r:id="rId14" w:history="1">
        <w:r w:rsidRPr="00FD2D76">
          <w:rPr>
            <w:rFonts w:eastAsia="Times New Roman" w:cs="Times New Roman"/>
            <w:color w:val="1A0DAB"/>
            <w:sz w:val="30"/>
            <w:szCs w:val="30"/>
            <w:u w:val="single"/>
            <w:lang w:eastAsia="ru-RU"/>
          </w:rPr>
          <w:t>приказом</w:t>
        </w:r>
      </w:hyperlink>
      <w:r w:rsidRPr="00FD2D76">
        <w:rPr>
          <w:rFonts w:eastAsia="Times New Roman" w:cs="Times New Roman"/>
          <w:color w:val="000000"/>
          <w:sz w:val="30"/>
          <w:szCs w:val="30"/>
          <w:lang w:eastAsia="ru-RU"/>
        </w:rPr>
        <w:t xml:space="preserve"> Федеральной службы по надзору в сфере образования и науки от 26 июня 2019 г. N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FD2D76">
        <w:rPr>
          <w:rFonts w:eastAsia="Times New Roman" w:cs="Times New Roman"/>
          <w:color w:val="000000"/>
          <w:sz w:val="30"/>
          <w:szCs w:val="30"/>
          <w:lang w:eastAsia="ru-RU"/>
        </w:rPr>
        <w:t>бакалавриата</w:t>
      </w:r>
      <w:proofErr w:type="spellEnd"/>
      <w:r w:rsidRPr="00FD2D76">
        <w:rPr>
          <w:rFonts w:eastAsia="Times New Roman" w:cs="Times New Roman"/>
          <w:color w:val="000000"/>
          <w:sz w:val="30"/>
          <w:szCs w:val="30"/>
          <w:lang w:eastAsia="ru-RU"/>
        </w:rPr>
        <w:t xml:space="preserve"> и программам </w:t>
      </w:r>
      <w:proofErr w:type="spellStart"/>
      <w:r w:rsidRPr="00FD2D76">
        <w:rPr>
          <w:rFonts w:eastAsia="Times New Roman" w:cs="Times New Roman"/>
          <w:color w:val="000000"/>
          <w:sz w:val="30"/>
          <w:szCs w:val="30"/>
          <w:lang w:eastAsia="ru-RU"/>
        </w:rPr>
        <w:t>специалитета</w:t>
      </w:r>
      <w:proofErr w:type="spellEnd"/>
      <w:r w:rsidRPr="00FD2D76">
        <w:rPr>
          <w:rFonts w:eastAsia="Times New Roman" w:cs="Times New Roman"/>
          <w:color w:val="000000"/>
          <w:sz w:val="30"/>
          <w:szCs w:val="30"/>
          <w:lang w:eastAsia="ru-RU"/>
        </w:rPr>
        <w:t>" (зарегистрирован Министерством юстиции Российской Федерации 23 июля 2019 г., регистрационный N 55347), остались прежними.</w:t>
      </w:r>
    </w:p>
    <w:p w:rsidR="00FD2D76" w:rsidRPr="00FD2D76" w:rsidRDefault="00FD2D76" w:rsidP="00FD2D76">
      <w:pPr>
        <w:shd w:val="clear" w:color="auto" w:fill="FFFFFF"/>
        <w:spacing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Начальник</w:t>
      </w:r>
    </w:p>
    <w:p w:rsidR="00FD2D76" w:rsidRPr="00FD2D76" w:rsidRDefault="00FD2D76" w:rsidP="00FD2D76">
      <w:pPr>
        <w:shd w:val="clear" w:color="auto" w:fill="FFFFFF"/>
        <w:spacing w:line="360" w:lineRule="atLeast"/>
        <w:ind w:firstLine="567"/>
        <w:rPr>
          <w:rFonts w:eastAsia="Times New Roman" w:cs="Times New Roman"/>
          <w:color w:val="000000"/>
          <w:sz w:val="30"/>
          <w:szCs w:val="30"/>
          <w:lang w:eastAsia="ru-RU"/>
        </w:rPr>
      </w:pPr>
      <w:r w:rsidRPr="00FD2D76">
        <w:rPr>
          <w:rFonts w:eastAsia="Times New Roman" w:cs="Times New Roman"/>
          <w:color w:val="000000"/>
          <w:sz w:val="30"/>
          <w:szCs w:val="30"/>
          <w:lang w:eastAsia="ru-RU"/>
        </w:rPr>
        <w:t>Н.Н.БУГУЛОВА</w:t>
      </w:r>
    </w:p>
    <w:p w:rsidR="00F00B0E" w:rsidRDefault="00F00B0E" w:rsidP="00FD2D76">
      <w:pPr>
        <w:ind w:firstLine="567"/>
      </w:pPr>
    </w:p>
    <w:sectPr w:rsidR="00F00B0E" w:rsidSect="00381824">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5B"/>
    <w:rsid w:val="00381824"/>
    <w:rsid w:val="003D2744"/>
    <w:rsid w:val="00516A2D"/>
    <w:rsid w:val="008E7F5B"/>
    <w:rsid w:val="00F00B0E"/>
    <w:rsid w:val="00FD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CF07"/>
  <w15:chartTrackingRefBased/>
  <w15:docId w15:val="{F1150756-79CF-49DB-B6E8-1459CEF1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2744"/>
    <w:pPr>
      <w:jc w:val="left"/>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648480">
      <w:bodyDiv w:val="1"/>
      <w:marLeft w:val="0"/>
      <w:marRight w:val="0"/>
      <w:marTop w:val="0"/>
      <w:marBottom w:val="0"/>
      <w:divBdr>
        <w:top w:val="none" w:sz="0" w:space="0" w:color="auto"/>
        <w:left w:val="none" w:sz="0" w:space="0" w:color="auto"/>
        <w:bottom w:val="none" w:sz="0" w:space="0" w:color="auto"/>
        <w:right w:val="none" w:sz="0" w:space="0" w:color="auto"/>
      </w:divBdr>
      <w:divsChild>
        <w:div w:id="509174181">
          <w:marLeft w:val="0"/>
          <w:marRight w:val="0"/>
          <w:marTop w:val="0"/>
          <w:marBottom w:val="240"/>
          <w:divBdr>
            <w:top w:val="none" w:sz="0" w:space="0" w:color="auto"/>
            <w:left w:val="none" w:sz="0" w:space="0" w:color="auto"/>
            <w:bottom w:val="none" w:sz="0" w:space="0" w:color="auto"/>
            <w:right w:val="none" w:sz="0" w:space="0" w:color="auto"/>
          </w:divBdr>
        </w:div>
        <w:div w:id="45791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2715/" TargetMode="External"/><Relationship Id="rId13" Type="http://schemas.openxmlformats.org/officeDocument/2006/relationships/hyperlink" Target="http://obrnadzor.gov.ru/gia/gia-11/rezultaty/" TargetMode="External"/><Relationship Id="rId3" Type="http://schemas.openxmlformats.org/officeDocument/2006/relationships/webSettings" Target="webSettings.xml"/><Relationship Id="rId7" Type="http://schemas.openxmlformats.org/officeDocument/2006/relationships/hyperlink" Target="http://www.consultant.ru/document/cons_doc_LAW_438269/" TargetMode="External"/><Relationship Id="rId12" Type="http://schemas.openxmlformats.org/officeDocument/2006/relationships/hyperlink" Target="http://fipi.ru/ege/demoversii-specifikacii-kodifikato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438269/" TargetMode="External"/><Relationship Id="rId11" Type="http://schemas.openxmlformats.org/officeDocument/2006/relationships/hyperlink" Target="http://www.consultant.ru/document/cons_doc_LAW_438269/" TargetMode="External"/><Relationship Id="rId5" Type="http://schemas.openxmlformats.org/officeDocument/2006/relationships/hyperlink" Target="http://www.consultant.ru/document/cons_doc_LAW_440020/f01e721e7f3d20f5deaa79625b838c73f5792a67/" TargetMode="External"/><Relationship Id="rId15" Type="http://schemas.openxmlformats.org/officeDocument/2006/relationships/fontTable" Target="fontTable.xml"/><Relationship Id="rId10" Type="http://schemas.openxmlformats.org/officeDocument/2006/relationships/hyperlink" Target="http://www.consultant.ru/document/cons_doc_LAW_438269/" TargetMode="External"/><Relationship Id="rId4" Type="http://schemas.openxmlformats.org/officeDocument/2006/relationships/hyperlink" Target="http://www.consultant.ru/document/cons_doc_LAW_440020/95d9ecc180e13e58ff632723375f109b36986b8c/" TargetMode="External"/><Relationship Id="rId9" Type="http://schemas.openxmlformats.org/officeDocument/2006/relationships/hyperlink" Target="http://www.consultant.ru/document/cons_doc_LAW_438269/" TargetMode="External"/><Relationship Id="rId14" Type="http://schemas.openxmlformats.org/officeDocument/2006/relationships/hyperlink" Target="http://www.consultant.ru/document/cons_doc_LAW_329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7601</Characters>
  <Application>Microsoft Office Word</Application>
  <DocSecurity>0</DocSecurity>
  <Lines>63</Lines>
  <Paragraphs>17</Paragraphs>
  <ScaleCrop>false</ScaleCrop>
  <Company>diakov.net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2023-05-16T08:52:00Z</dcterms:created>
  <dcterms:modified xsi:type="dcterms:W3CDTF">2023-05-16T08:54:00Z</dcterms:modified>
</cp:coreProperties>
</file>